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76" w:rsidRDefault="00DA6B76" w:rsidP="00DA6B76">
      <w:pPr>
        <w:jc w:val="center"/>
        <w:rPr>
          <w:b/>
          <w:color w:val="FF0000"/>
          <w:lang w:val="en-US" w:eastAsia="zh-TW"/>
        </w:rPr>
      </w:pPr>
      <w:r w:rsidRPr="001F5E72">
        <w:rPr>
          <w:rFonts w:hint="eastAsia"/>
          <w:b/>
          <w:color w:val="FF0000"/>
        </w:rPr>
        <w:t>宏图国际</w:t>
      </w:r>
      <w:r>
        <w:rPr>
          <w:rFonts w:hint="eastAsia"/>
          <w:b/>
          <w:color w:val="FF0000"/>
          <w:lang w:eastAsia="zh-TW"/>
        </w:rPr>
        <w:t>基本</w:t>
      </w:r>
      <w:r w:rsidRPr="001F5E72">
        <w:rPr>
          <w:rFonts w:hint="eastAsia"/>
          <w:b/>
          <w:color w:val="FF0000"/>
        </w:rPr>
        <w:t>监护人</w:t>
      </w:r>
      <w:r>
        <w:rPr>
          <w:rFonts w:hint="eastAsia"/>
          <w:b/>
          <w:color w:val="FF0000"/>
          <w:lang w:val="en-US" w:eastAsia="zh-TW"/>
        </w:rPr>
        <w:t>协助事项总结</w:t>
      </w:r>
    </w:p>
    <w:tbl>
      <w:tblPr>
        <w:tblStyle w:val="TableGrid"/>
        <w:tblW w:w="10206" w:type="dxa"/>
        <w:tblInd w:w="-459" w:type="dxa"/>
        <w:tblLook w:val="04A0" w:firstRow="1" w:lastRow="0" w:firstColumn="1" w:lastColumn="0" w:noHBand="0" w:noVBand="1"/>
      </w:tblPr>
      <w:tblGrid>
        <w:gridCol w:w="7047"/>
        <w:gridCol w:w="3159"/>
      </w:tblGrid>
      <w:tr w:rsidR="00DA6B76" w:rsidRPr="000767FE" w:rsidTr="00C71BB7">
        <w:trPr>
          <w:trHeight w:val="565"/>
        </w:trPr>
        <w:tc>
          <w:tcPr>
            <w:tcW w:w="7047" w:type="dxa"/>
          </w:tcPr>
          <w:p w:rsidR="00DA6B76" w:rsidRPr="000767FE" w:rsidRDefault="00DA6B76" w:rsidP="00C71BB7">
            <w:pPr>
              <w:rPr>
                <w:sz w:val="24"/>
                <w:szCs w:val="24"/>
              </w:rPr>
            </w:pPr>
          </w:p>
        </w:tc>
        <w:tc>
          <w:tcPr>
            <w:tcW w:w="3159" w:type="dxa"/>
          </w:tcPr>
          <w:p w:rsidR="00DA6B76" w:rsidRPr="000767FE" w:rsidRDefault="00DA6B76" w:rsidP="00C71BB7">
            <w:pPr>
              <w:rPr>
                <w:rFonts w:eastAsia="PMingLiU"/>
                <w:b/>
                <w:sz w:val="24"/>
                <w:szCs w:val="24"/>
                <w:lang w:eastAsia="zh-TW"/>
              </w:rPr>
            </w:pPr>
            <w:r w:rsidRPr="000767FE">
              <w:rPr>
                <w:rFonts w:eastAsia="PMingLiU" w:hint="eastAsia"/>
                <w:b/>
                <w:sz w:val="24"/>
                <w:szCs w:val="24"/>
                <w:lang w:eastAsia="zh-TW"/>
              </w:rPr>
              <w:t>监护服务</w:t>
            </w:r>
          </w:p>
        </w:tc>
      </w:tr>
      <w:tr w:rsidR="00DA6B76" w:rsidRPr="000767FE" w:rsidTr="00C71BB7">
        <w:trPr>
          <w:trHeight w:val="291"/>
        </w:trPr>
        <w:tc>
          <w:tcPr>
            <w:tcW w:w="7047" w:type="dxa"/>
          </w:tcPr>
          <w:p w:rsidR="00DA6B76" w:rsidRPr="000767FE" w:rsidRDefault="00DA6B76" w:rsidP="00C71BB7">
            <w:r w:rsidRPr="000767FE">
              <w:rPr>
                <w:rFonts w:hint="eastAsia"/>
              </w:rPr>
              <w:t>提供监护文件以帮助学生获取签证</w:t>
            </w:r>
          </w:p>
        </w:tc>
        <w:tc>
          <w:tcPr>
            <w:tcW w:w="3159" w:type="dxa"/>
          </w:tcPr>
          <w:p w:rsidR="00DA6B76" w:rsidRPr="000767FE" w:rsidRDefault="00DA6B76" w:rsidP="00C71BB7">
            <w:r w:rsidRPr="000767FE">
              <w:rPr>
                <w:rFonts w:hint="eastAsia"/>
              </w:rPr>
              <w:t>Yes</w:t>
            </w:r>
          </w:p>
        </w:tc>
      </w:tr>
      <w:tr w:rsidR="00DA6B76" w:rsidRPr="000767FE" w:rsidTr="00C71BB7">
        <w:trPr>
          <w:trHeight w:val="291"/>
        </w:trPr>
        <w:tc>
          <w:tcPr>
            <w:tcW w:w="7047" w:type="dxa"/>
          </w:tcPr>
          <w:p w:rsidR="00DA6B76" w:rsidRPr="000767FE" w:rsidRDefault="00DA6B76" w:rsidP="00C71BB7">
            <w:r w:rsidRPr="000767FE">
              <w:rPr>
                <w:rFonts w:hint="eastAsia"/>
              </w:rPr>
              <w:t>必要时帮助确认司机是否接到学生</w:t>
            </w:r>
          </w:p>
        </w:tc>
        <w:tc>
          <w:tcPr>
            <w:tcW w:w="3159" w:type="dxa"/>
          </w:tcPr>
          <w:p w:rsidR="00DA6B76" w:rsidRPr="000767FE" w:rsidRDefault="00DA6B76" w:rsidP="00C71BB7">
            <w:r w:rsidRPr="000767FE">
              <w:rPr>
                <w:rFonts w:hint="eastAsia"/>
              </w:rPr>
              <w:t>Yes</w:t>
            </w:r>
          </w:p>
        </w:tc>
      </w:tr>
      <w:tr w:rsidR="00DA6B76" w:rsidRPr="000767FE" w:rsidTr="00C71BB7">
        <w:trPr>
          <w:trHeight w:val="614"/>
        </w:trPr>
        <w:tc>
          <w:tcPr>
            <w:tcW w:w="7047" w:type="dxa"/>
          </w:tcPr>
          <w:p w:rsidR="00DA6B76" w:rsidRPr="000767FE" w:rsidRDefault="00DA6B76" w:rsidP="00C71BB7">
            <w:r w:rsidRPr="000767FE">
              <w:rPr>
                <w:rFonts w:hint="eastAsia"/>
              </w:rPr>
              <w:t>移民局官员在学生入境打电话确认监护人和寄宿家庭信息时，提供相应信息以确保学生入境</w:t>
            </w:r>
          </w:p>
        </w:tc>
        <w:tc>
          <w:tcPr>
            <w:tcW w:w="3159" w:type="dxa"/>
          </w:tcPr>
          <w:p w:rsidR="00DA6B76" w:rsidRPr="000767FE" w:rsidRDefault="00DA6B76" w:rsidP="00C71BB7">
            <w:r w:rsidRPr="000767FE">
              <w:rPr>
                <w:rFonts w:hint="eastAsia"/>
              </w:rPr>
              <w:t>Yes</w:t>
            </w:r>
          </w:p>
        </w:tc>
      </w:tr>
      <w:tr w:rsidR="00DA6B76" w:rsidRPr="000767FE" w:rsidTr="00C71BB7">
        <w:trPr>
          <w:trHeight w:val="614"/>
        </w:trPr>
        <w:tc>
          <w:tcPr>
            <w:tcW w:w="7047" w:type="dxa"/>
          </w:tcPr>
          <w:p w:rsidR="00DA6B76" w:rsidRPr="000767FE" w:rsidRDefault="00DA6B76" w:rsidP="00C71BB7">
            <w:r w:rsidRPr="000767FE">
              <w:rPr>
                <w:rFonts w:hint="eastAsia"/>
              </w:rPr>
              <w:t>学生到达后，和学生见面交代学习，生活事宜，并回答关于注册，选课和交通等方面的问题</w:t>
            </w:r>
          </w:p>
        </w:tc>
        <w:tc>
          <w:tcPr>
            <w:tcW w:w="3159" w:type="dxa"/>
          </w:tcPr>
          <w:p w:rsidR="00DA6B76" w:rsidRPr="000767FE" w:rsidRDefault="00DA6B76" w:rsidP="00C71BB7">
            <w:r w:rsidRPr="000767FE">
              <w:t>Y</w:t>
            </w:r>
            <w:r w:rsidRPr="000767FE">
              <w:rPr>
                <w:rFonts w:hint="eastAsia"/>
              </w:rPr>
              <w:t>es</w:t>
            </w:r>
          </w:p>
        </w:tc>
      </w:tr>
      <w:tr w:rsidR="00DA6B76" w:rsidRPr="000767FE" w:rsidTr="00C71BB7">
        <w:trPr>
          <w:trHeight w:val="307"/>
        </w:trPr>
        <w:tc>
          <w:tcPr>
            <w:tcW w:w="7047" w:type="dxa"/>
          </w:tcPr>
          <w:p w:rsidR="00DA6B76" w:rsidRPr="000767FE" w:rsidRDefault="00DA6B76" w:rsidP="00C71BB7">
            <w:r w:rsidRPr="000767FE">
              <w:rPr>
                <w:rFonts w:hint="eastAsia"/>
              </w:rPr>
              <w:t>带学生办理银行账户和开通手机，并建议最适合学生的手机套餐</w:t>
            </w:r>
          </w:p>
        </w:tc>
        <w:tc>
          <w:tcPr>
            <w:tcW w:w="3159" w:type="dxa"/>
          </w:tcPr>
          <w:p w:rsidR="00DA6B76" w:rsidRPr="000767FE" w:rsidRDefault="00DA6B76" w:rsidP="00C71BB7">
            <w:r w:rsidRPr="000767FE">
              <w:rPr>
                <w:rFonts w:hint="eastAsia"/>
              </w:rPr>
              <w:t>Yes</w:t>
            </w:r>
          </w:p>
        </w:tc>
      </w:tr>
      <w:tr w:rsidR="00DA6B76" w:rsidRPr="000767FE" w:rsidTr="00C71BB7">
        <w:trPr>
          <w:trHeight w:val="307"/>
        </w:trPr>
        <w:tc>
          <w:tcPr>
            <w:tcW w:w="7047" w:type="dxa"/>
          </w:tcPr>
          <w:p w:rsidR="00DA6B76" w:rsidRPr="000767FE" w:rsidRDefault="00DA6B76" w:rsidP="00C71BB7">
            <w:r w:rsidRPr="000767FE">
              <w:rPr>
                <w:rFonts w:hint="eastAsia"/>
              </w:rPr>
              <w:t>检查学生学习许可和入境签证并记录，提醒学生续签时间和续签方法</w:t>
            </w:r>
          </w:p>
        </w:tc>
        <w:tc>
          <w:tcPr>
            <w:tcW w:w="3159" w:type="dxa"/>
          </w:tcPr>
          <w:p w:rsidR="00DA6B76" w:rsidRPr="000767FE" w:rsidRDefault="00DA6B76" w:rsidP="00C71BB7">
            <w:r w:rsidRPr="000767FE">
              <w:rPr>
                <w:rFonts w:hint="eastAsia"/>
              </w:rPr>
              <w:t>Yes</w:t>
            </w:r>
          </w:p>
        </w:tc>
      </w:tr>
      <w:tr w:rsidR="00DA6B76" w:rsidRPr="000767FE" w:rsidTr="00C71BB7">
        <w:trPr>
          <w:trHeight w:val="307"/>
        </w:trPr>
        <w:tc>
          <w:tcPr>
            <w:tcW w:w="7047" w:type="dxa"/>
          </w:tcPr>
          <w:p w:rsidR="00DA6B76" w:rsidRPr="000767FE" w:rsidRDefault="00DA6B76" w:rsidP="00C71BB7">
            <w:r w:rsidRPr="000767FE">
              <w:rPr>
                <w:rFonts w:hint="eastAsia"/>
              </w:rPr>
              <w:t>介绍加拿大中学课程重点和学习方法，对学生的英语学习提出建议和指导</w:t>
            </w:r>
            <w:bookmarkStart w:id="0" w:name="_GoBack"/>
            <w:bookmarkEnd w:id="0"/>
          </w:p>
        </w:tc>
        <w:tc>
          <w:tcPr>
            <w:tcW w:w="3159" w:type="dxa"/>
          </w:tcPr>
          <w:p w:rsidR="00DA6B76" w:rsidRPr="000767FE" w:rsidRDefault="00DA6B76" w:rsidP="00C71BB7">
            <w:r w:rsidRPr="000767FE">
              <w:rPr>
                <w:rFonts w:hint="eastAsia"/>
              </w:rPr>
              <w:t>Yes</w:t>
            </w:r>
          </w:p>
        </w:tc>
      </w:tr>
      <w:tr w:rsidR="00DA6B76" w:rsidRPr="000767FE" w:rsidTr="00C71BB7">
        <w:trPr>
          <w:trHeight w:val="614"/>
        </w:trPr>
        <w:tc>
          <w:tcPr>
            <w:tcW w:w="7047" w:type="dxa"/>
          </w:tcPr>
          <w:p w:rsidR="00DA6B76" w:rsidRPr="000767FE" w:rsidRDefault="00DA6B76" w:rsidP="00C71BB7">
            <w:r w:rsidRPr="000767FE">
              <w:rPr>
                <w:rFonts w:hint="eastAsia"/>
              </w:rPr>
              <w:t>确保学生寄宿家庭提供充足食物和关心，如学生不满意寄宿家庭和教育局协调更换寄宿家庭。</w:t>
            </w:r>
          </w:p>
        </w:tc>
        <w:tc>
          <w:tcPr>
            <w:tcW w:w="3159" w:type="dxa"/>
          </w:tcPr>
          <w:p w:rsidR="00DA6B76" w:rsidRPr="000767FE" w:rsidRDefault="00DA6B76" w:rsidP="00C71BB7">
            <w:r>
              <w:rPr>
                <w:rFonts w:eastAsia="PMingLiU" w:hint="eastAsia"/>
                <w:lang w:eastAsia="zh-TW"/>
              </w:rPr>
              <w:t>Yes</w:t>
            </w:r>
          </w:p>
        </w:tc>
      </w:tr>
      <w:tr w:rsidR="00DA6B76" w:rsidRPr="000767FE" w:rsidTr="00C71BB7">
        <w:trPr>
          <w:trHeight w:val="614"/>
        </w:trPr>
        <w:tc>
          <w:tcPr>
            <w:tcW w:w="7047" w:type="dxa"/>
          </w:tcPr>
          <w:p w:rsidR="00DA6B76" w:rsidRPr="000767FE" w:rsidRDefault="00DA6B76" w:rsidP="00DA6B76">
            <w:r w:rsidRPr="000767FE">
              <w:rPr>
                <w:rFonts w:hint="eastAsia"/>
              </w:rPr>
              <w:t>访问学生要搬往的新寄宿家庭确保新家庭适合学生生活，学习。</w:t>
            </w:r>
            <w:r w:rsidRPr="000767FE">
              <w:rPr>
                <w:rFonts w:hint="eastAsia"/>
              </w:rPr>
              <w:t xml:space="preserve"> </w:t>
            </w:r>
          </w:p>
        </w:tc>
        <w:tc>
          <w:tcPr>
            <w:tcW w:w="3159" w:type="dxa"/>
          </w:tcPr>
          <w:p w:rsidR="00DA6B76" w:rsidRPr="000767FE" w:rsidRDefault="00DA6B76" w:rsidP="00C71BB7">
            <w:r w:rsidRPr="000767FE">
              <w:t>Y</w:t>
            </w:r>
            <w:r w:rsidRPr="000767FE">
              <w:rPr>
                <w:rFonts w:hint="eastAsia"/>
              </w:rPr>
              <w:t>es</w:t>
            </w:r>
          </w:p>
        </w:tc>
      </w:tr>
      <w:tr w:rsidR="00DA6B76" w:rsidRPr="001F19B8" w:rsidTr="00C71BB7">
        <w:trPr>
          <w:trHeight w:val="598"/>
        </w:trPr>
        <w:tc>
          <w:tcPr>
            <w:tcW w:w="7047" w:type="dxa"/>
          </w:tcPr>
          <w:p w:rsidR="00DA6B76" w:rsidRPr="000767FE" w:rsidRDefault="00DA6B76" w:rsidP="00C71BB7">
            <w:r w:rsidRPr="000767FE">
              <w:rPr>
                <w:rFonts w:hint="eastAsia"/>
              </w:rPr>
              <w:t>查询学生的考勤记录，如经常迟到旷课，和家长沟通并和学生见面以促成学生改进。</w:t>
            </w:r>
          </w:p>
        </w:tc>
        <w:tc>
          <w:tcPr>
            <w:tcW w:w="3159" w:type="dxa"/>
          </w:tcPr>
          <w:p w:rsidR="00DA6B76" w:rsidRPr="001F19B8" w:rsidRDefault="00DA6B76" w:rsidP="00C71BB7">
            <w:pPr>
              <w:rPr>
                <w:rFonts w:eastAsia="PMingLiU"/>
                <w:lang w:eastAsia="zh-TW"/>
              </w:rPr>
            </w:pPr>
            <w:r w:rsidRPr="000767FE">
              <w:rPr>
                <w:rFonts w:hint="eastAsia"/>
              </w:rPr>
              <w:t>Yes</w:t>
            </w:r>
          </w:p>
        </w:tc>
      </w:tr>
      <w:tr w:rsidR="00DA6B76" w:rsidRPr="000767FE" w:rsidTr="00C71BB7">
        <w:trPr>
          <w:trHeight w:val="614"/>
        </w:trPr>
        <w:tc>
          <w:tcPr>
            <w:tcW w:w="7047" w:type="dxa"/>
          </w:tcPr>
          <w:p w:rsidR="00DA6B76" w:rsidRPr="000767FE" w:rsidRDefault="00DA6B76" w:rsidP="00C71BB7">
            <w:r w:rsidRPr="000767FE">
              <w:rPr>
                <w:rFonts w:hint="eastAsia"/>
              </w:rPr>
              <w:t>如学校和国际部由于学生考勤，抽烟，寄宿家庭表现等原因准备开除学生时和学校和国际部沟通保护学生利益，给学生多一次机会改正</w:t>
            </w:r>
          </w:p>
        </w:tc>
        <w:tc>
          <w:tcPr>
            <w:tcW w:w="3159" w:type="dxa"/>
          </w:tcPr>
          <w:p w:rsidR="00DA6B76" w:rsidRPr="000767FE" w:rsidRDefault="00DA6B76" w:rsidP="00C71BB7">
            <w:r w:rsidRPr="000767FE">
              <w:rPr>
                <w:rFonts w:hint="eastAsia"/>
              </w:rPr>
              <w:t>Yes</w:t>
            </w:r>
          </w:p>
        </w:tc>
      </w:tr>
      <w:tr w:rsidR="00DA6B76" w:rsidRPr="001F19B8" w:rsidTr="00C71BB7">
        <w:trPr>
          <w:trHeight w:val="565"/>
        </w:trPr>
        <w:tc>
          <w:tcPr>
            <w:tcW w:w="7047" w:type="dxa"/>
          </w:tcPr>
          <w:p w:rsidR="00DA6B76" w:rsidRPr="000767FE" w:rsidRDefault="00DA6B76" w:rsidP="00C71BB7">
            <w:pPr>
              <w:rPr>
                <w:lang w:eastAsia="zh-TW"/>
              </w:rPr>
            </w:pPr>
            <w:r w:rsidRPr="000767FE">
              <w:rPr>
                <w:rFonts w:hint="eastAsia"/>
              </w:rPr>
              <w:t>学生需要换课，找家教和申请大学给予学生建议和帮助</w:t>
            </w:r>
            <w:r>
              <w:rPr>
                <w:rFonts w:hint="eastAsia"/>
                <w:lang w:eastAsia="zh-TW"/>
              </w:rPr>
              <w:t xml:space="preserve"> </w:t>
            </w:r>
            <w:r>
              <w:rPr>
                <w:rFonts w:hint="eastAsia"/>
                <w:lang w:eastAsia="zh-TW"/>
              </w:rPr>
              <w:t>（申请大学则须另外收费）</w:t>
            </w:r>
          </w:p>
        </w:tc>
        <w:tc>
          <w:tcPr>
            <w:tcW w:w="3159" w:type="dxa"/>
          </w:tcPr>
          <w:p w:rsidR="00DA6B76" w:rsidRPr="001F19B8" w:rsidRDefault="00DA6B76" w:rsidP="00C71BB7">
            <w:pPr>
              <w:rPr>
                <w:rFonts w:eastAsia="PMingLiU"/>
                <w:b/>
                <w:lang w:eastAsia="zh-TW"/>
              </w:rPr>
            </w:pPr>
            <w:r w:rsidRPr="000767FE">
              <w:rPr>
                <w:rFonts w:hint="eastAsia"/>
              </w:rPr>
              <w:t>Yes</w:t>
            </w:r>
          </w:p>
        </w:tc>
      </w:tr>
      <w:tr w:rsidR="00DA6B76" w:rsidRPr="000767FE" w:rsidTr="00C71BB7">
        <w:trPr>
          <w:trHeight w:val="307"/>
        </w:trPr>
        <w:tc>
          <w:tcPr>
            <w:tcW w:w="7047" w:type="dxa"/>
          </w:tcPr>
          <w:p w:rsidR="00DA6B76" w:rsidRPr="00582545" w:rsidRDefault="00DA6B76" w:rsidP="00C71BB7">
            <w:pPr>
              <w:rPr>
                <w:rFonts w:eastAsia="SimSun"/>
              </w:rPr>
            </w:pPr>
            <w:r w:rsidRPr="001F5E72">
              <w:rPr>
                <w:rFonts w:hint="eastAsia"/>
              </w:rPr>
              <w:t>帮助学生办理入境签证以及续签</w:t>
            </w:r>
            <w:r>
              <w:rPr>
                <w:rFonts w:hint="eastAsia"/>
                <w:lang w:eastAsia="zh-TW"/>
              </w:rPr>
              <w:t xml:space="preserve"> </w:t>
            </w:r>
          </w:p>
        </w:tc>
        <w:tc>
          <w:tcPr>
            <w:tcW w:w="3159" w:type="dxa"/>
          </w:tcPr>
          <w:p w:rsidR="00DA6B76" w:rsidRPr="000767FE" w:rsidRDefault="00DA6B76" w:rsidP="00C71BB7">
            <w:r w:rsidRPr="000767FE">
              <w:rPr>
                <w:rFonts w:hint="eastAsia"/>
              </w:rPr>
              <w:t>Yes</w:t>
            </w:r>
          </w:p>
        </w:tc>
      </w:tr>
      <w:tr w:rsidR="00DA6B76" w:rsidRPr="000767FE" w:rsidTr="00C71BB7">
        <w:trPr>
          <w:trHeight w:val="307"/>
        </w:trPr>
        <w:tc>
          <w:tcPr>
            <w:tcW w:w="7047" w:type="dxa"/>
          </w:tcPr>
          <w:p w:rsidR="00DA6B76" w:rsidRPr="000767FE" w:rsidRDefault="00DA6B76" w:rsidP="00C71BB7">
            <w:pPr>
              <w:rPr>
                <w:lang w:eastAsia="zh-TW"/>
              </w:rPr>
            </w:pPr>
            <w:r>
              <w:rPr>
                <w:rFonts w:hint="eastAsia"/>
                <w:lang w:eastAsia="zh-TW"/>
              </w:rPr>
              <w:t>如需要，协助学生办理美国观光签证</w:t>
            </w:r>
            <w:r>
              <w:rPr>
                <w:rFonts w:hint="eastAsia"/>
                <w:lang w:eastAsia="zh-TW"/>
              </w:rPr>
              <w:t xml:space="preserve"> (</w:t>
            </w:r>
            <w:r>
              <w:rPr>
                <w:rFonts w:hint="eastAsia"/>
                <w:lang w:eastAsia="zh-TW"/>
              </w:rPr>
              <w:t>收費</w:t>
            </w:r>
            <w:r>
              <w:rPr>
                <w:rFonts w:hint="eastAsia"/>
                <w:lang w:eastAsia="zh-TW"/>
              </w:rPr>
              <w:t>)</w:t>
            </w:r>
          </w:p>
        </w:tc>
        <w:tc>
          <w:tcPr>
            <w:tcW w:w="3159" w:type="dxa"/>
          </w:tcPr>
          <w:p w:rsidR="00DA6B76" w:rsidRPr="000767FE" w:rsidRDefault="00DA6B76" w:rsidP="00C71BB7">
            <w:r w:rsidRPr="000767FE">
              <w:rPr>
                <w:rFonts w:hint="eastAsia"/>
              </w:rPr>
              <w:t>Yes</w:t>
            </w:r>
          </w:p>
        </w:tc>
      </w:tr>
      <w:tr w:rsidR="00DA6B76" w:rsidRPr="000767FE" w:rsidTr="00C71BB7">
        <w:trPr>
          <w:trHeight w:val="307"/>
        </w:trPr>
        <w:tc>
          <w:tcPr>
            <w:tcW w:w="7047" w:type="dxa"/>
          </w:tcPr>
          <w:p w:rsidR="00DA6B76" w:rsidRPr="000767FE" w:rsidRDefault="00DA6B76" w:rsidP="00C71BB7">
            <w:r w:rsidRPr="000767FE">
              <w:rPr>
                <w:rFonts w:hint="eastAsia"/>
              </w:rPr>
              <w:t>了解学生学习考试情况和学生和家长沟通以帮助学生改进</w:t>
            </w:r>
          </w:p>
        </w:tc>
        <w:tc>
          <w:tcPr>
            <w:tcW w:w="3159" w:type="dxa"/>
          </w:tcPr>
          <w:p w:rsidR="00DA6B76" w:rsidRPr="000767FE" w:rsidRDefault="00DA6B76" w:rsidP="00C71BB7">
            <w:r w:rsidRPr="000767FE">
              <w:rPr>
                <w:rFonts w:hint="eastAsia"/>
              </w:rPr>
              <w:t>Yes</w:t>
            </w:r>
          </w:p>
        </w:tc>
      </w:tr>
      <w:tr w:rsidR="00DA6B76" w:rsidRPr="000767FE" w:rsidTr="00C71BB7">
        <w:trPr>
          <w:trHeight w:val="828"/>
        </w:trPr>
        <w:tc>
          <w:tcPr>
            <w:tcW w:w="7047" w:type="dxa"/>
          </w:tcPr>
          <w:p w:rsidR="00DA6B76" w:rsidRPr="000767FE" w:rsidRDefault="00DA6B76" w:rsidP="00C71BB7">
            <w:r w:rsidRPr="000767FE">
              <w:rPr>
                <w:rFonts w:hint="eastAsia"/>
              </w:rPr>
              <w:lastRenderedPageBreak/>
              <w:t>学生有紧急情况时可随时联系到以帮助学生和通知家长</w:t>
            </w:r>
          </w:p>
        </w:tc>
        <w:tc>
          <w:tcPr>
            <w:tcW w:w="3159" w:type="dxa"/>
          </w:tcPr>
          <w:p w:rsidR="00DA6B76" w:rsidRPr="000767FE" w:rsidRDefault="00DA6B76" w:rsidP="00C71BB7">
            <w:r w:rsidRPr="000767FE">
              <w:rPr>
                <w:rFonts w:hint="eastAsia"/>
              </w:rPr>
              <w:t>Yes</w:t>
            </w:r>
          </w:p>
        </w:tc>
      </w:tr>
      <w:tr w:rsidR="00DA6B76" w:rsidRPr="000767FE" w:rsidTr="00C71BB7">
        <w:trPr>
          <w:trHeight w:val="630"/>
        </w:trPr>
        <w:tc>
          <w:tcPr>
            <w:tcW w:w="7047" w:type="dxa"/>
          </w:tcPr>
          <w:p w:rsidR="00DA6B76" w:rsidRPr="000767FE" w:rsidRDefault="00DA6B76" w:rsidP="00C71BB7">
            <w:r w:rsidRPr="000767FE">
              <w:rPr>
                <w:rFonts w:hint="eastAsia"/>
              </w:rPr>
              <w:t>学生有生活方面任何问题如，丢失钱包，考驾照，看病和买机票等可随时询问监护人</w:t>
            </w:r>
          </w:p>
        </w:tc>
        <w:tc>
          <w:tcPr>
            <w:tcW w:w="3159" w:type="dxa"/>
          </w:tcPr>
          <w:p w:rsidR="00DA6B76" w:rsidRPr="000767FE" w:rsidRDefault="00DA6B76" w:rsidP="00C71BB7">
            <w:r w:rsidRPr="000767FE">
              <w:rPr>
                <w:rFonts w:hint="eastAsia"/>
              </w:rPr>
              <w:t>Yes</w:t>
            </w:r>
          </w:p>
        </w:tc>
      </w:tr>
    </w:tbl>
    <w:p w:rsidR="00DA6B76" w:rsidRPr="001F5E72" w:rsidRDefault="00DA6B76" w:rsidP="00DA6B76">
      <w:pPr>
        <w:jc w:val="center"/>
        <w:rPr>
          <w:b/>
          <w:color w:val="FF0000"/>
          <w:lang w:val="en-US"/>
        </w:rPr>
      </w:pPr>
    </w:p>
    <w:p w:rsidR="00DA6B76" w:rsidRPr="001F19B8" w:rsidRDefault="00DA6B76" w:rsidP="00DA6B76">
      <w:pPr>
        <w:ind w:firstLine="720"/>
        <w:rPr>
          <w:rFonts w:eastAsia="PMingLiU"/>
          <w:lang w:eastAsia="zh-TW"/>
        </w:rPr>
      </w:pPr>
    </w:p>
    <w:p w:rsidR="000C4B92" w:rsidRDefault="000C4B92"/>
    <w:sectPr w:rsidR="000C4B92" w:rsidSect="001F19B8">
      <w:headerReference w:type="default" r:id="rId4"/>
      <w:pgSz w:w="12240" w:h="15840"/>
      <w:pgMar w:top="1440" w:right="144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Schoolbook,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72" w:rsidRDefault="00DA6B76" w:rsidP="000767FE">
    <w:pPr>
      <w:pStyle w:val="Header"/>
      <w:jc w:val="center"/>
      <w:rPr>
        <w:rFonts w:eastAsia="PMingLiU"/>
        <w:lang w:eastAsia="zh-TW"/>
      </w:rPr>
    </w:pPr>
    <w:r w:rsidRPr="000767FE">
      <w:rPr>
        <w:rFonts w:ascii="CenturySchoolbook,Bold" w:hAnsi="CenturySchoolbook,Bold" w:cs="CenturySchoolbook,Bold" w:hint="eastAsia"/>
        <w:b/>
        <w:bCs/>
        <w:noProof/>
        <w:color w:val="002060"/>
        <w:sz w:val="28"/>
        <w:szCs w:val="28"/>
        <w:lang w:val="en-US" w:eastAsia="zh-TW"/>
      </w:rPr>
      <w:drawing>
        <wp:inline distT="0" distB="0" distL="0" distR="0" wp14:anchorId="35901BA4" wp14:editId="74814255">
          <wp:extent cx="897255" cy="1183005"/>
          <wp:effectExtent l="19050" t="0" r="0" b="0"/>
          <wp:docPr id="1" name="Picture 1" descr="PICI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I Logo Blue"/>
                  <pic:cNvPicPr>
                    <a:picLocks noChangeAspect="1" noChangeArrowheads="1"/>
                  </pic:cNvPicPr>
                </pic:nvPicPr>
                <pic:blipFill>
                  <a:blip r:embed="rId1"/>
                  <a:srcRect/>
                  <a:stretch>
                    <a:fillRect/>
                  </a:stretch>
                </pic:blipFill>
                <pic:spPr bwMode="auto">
                  <a:xfrm>
                    <a:off x="0" y="0"/>
                    <a:ext cx="897255" cy="1183005"/>
                  </a:xfrm>
                  <a:prstGeom prst="rect">
                    <a:avLst/>
                  </a:prstGeom>
                  <a:noFill/>
                  <a:ln w="9525">
                    <a:noFill/>
                    <a:miter lim="800000"/>
                    <a:headEnd/>
                    <a:tailEnd/>
                  </a:ln>
                </pic:spPr>
              </pic:pic>
            </a:graphicData>
          </a:graphic>
        </wp:inline>
      </w:drawing>
    </w:r>
  </w:p>
  <w:p w:rsidR="001F5E72" w:rsidRDefault="00DA6B76" w:rsidP="000767FE">
    <w:pPr>
      <w:pStyle w:val="Header"/>
      <w:jc w:val="center"/>
      <w:rPr>
        <w:rFonts w:eastAsia="PMingLiU"/>
        <w:lang w:eastAsia="zh-TW"/>
      </w:rPr>
    </w:pPr>
  </w:p>
  <w:p w:rsidR="001F5E72" w:rsidRPr="000767FE" w:rsidRDefault="00DA6B76" w:rsidP="000767FE">
    <w:pPr>
      <w:pStyle w:val="Header"/>
      <w:jc w:val="center"/>
      <w:rPr>
        <w:rFonts w:eastAsia="PMingLiU"/>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76"/>
    <w:rsid w:val="000C4B92"/>
    <w:rsid w:val="00DA6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2067-4AA8-4B75-ADF8-F729AA9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76"/>
    <w:pPr>
      <w:spacing w:after="200" w:line="276" w:lineRule="auto"/>
    </w:pPr>
    <w:rPr>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B76"/>
    <w:pPr>
      <w:spacing w:after="0" w:line="240" w:lineRule="auto"/>
    </w:pPr>
    <w:rPr>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B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6B76"/>
    <w:rPr>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PICI</dc:creator>
  <cp:keywords/>
  <dc:description/>
  <cp:lastModifiedBy>PICI</cp:lastModifiedBy>
  <cp:revision>1</cp:revision>
  <dcterms:created xsi:type="dcterms:W3CDTF">2018-03-28T23:11:00Z</dcterms:created>
  <dcterms:modified xsi:type="dcterms:W3CDTF">2018-03-28T23:14:00Z</dcterms:modified>
</cp:coreProperties>
</file>